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57A0">
            <w:pPr>
              <w:rPr>
                <w:rFonts w:ascii="Arial" w:hAnsi="Arial"/>
              </w:rPr>
            </w:pPr>
            <w:r>
              <w:rPr>
                <w:rFonts w:ascii="Arial" w:hAnsi="Arial"/>
              </w:rPr>
              <w:t>CCA17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677259" w:rsidRDefault="00677259" w:rsidP="0067725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677259" w:rsidP="00677259">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w:t>
            </w:r>
            <w:r w:rsidR="00A557A0">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51DB4" w:rsidRDefault="00D1300B" w:rsidP="00A557A0">
            <w:pPr>
              <w:rPr>
                <w:rFonts w:ascii="Arial" w:hAnsi="Arial"/>
                <w:b/>
              </w:rPr>
            </w:pPr>
            <w:r>
              <w:rPr>
                <w:rFonts w:ascii="Arial" w:hAnsi="Arial"/>
                <w:b/>
              </w:rPr>
              <w:t>COURSE DESCRIPTION:</w:t>
            </w:r>
          </w:p>
          <w:p w:rsidR="001D3000" w:rsidRPr="00151DB4" w:rsidRDefault="00A557A0" w:rsidP="00A557A0">
            <w:pPr>
              <w:rPr>
                <w:rFonts w:ascii="Arial" w:hAnsi="Arial"/>
              </w:rPr>
            </w:pPr>
            <w:r w:rsidRPr="00151DB4">
              <w:rPr>
                <w:rFonts w:ascii="Arial" w:hAnsi="Arial"/>
              </w:rPr>
              <w:t xml:space="preserve">Workplace Stress and Conflict Resolution </w:t>
            </w:r>
            <w:r w:rsidR="00C10DFB" w:rsidRPr="00151DB4">
              <w:rPr>
                <w:rFonts w:ascii="Arial" w:hAnsi="Arial"/>
              </w:rPr>
              <w:t>is</w:t>
            </w:r>
            <w:r w:rsidR="001434CA" w:rsidRPr="00151DB4">
              <w:rPr>
                <w:rFonts w:ascii="Arial" w:hAnsi="Arial"/>
              </w:rPr>
              <w:t xml:space="preserve"> </w:t>
            </w:r>
            <w:r w:rsidRPr="00151DB4">
              <w:rPr>
                <w:rFonts w:ascii="Arial" w:hAnsi="Arial"/>
              </w:rPr>
              <w:t>eighteen</w:t>
            </w:r>
            <w:r w:rsidR="001434CA" w:rsidRPr="00151DB4">
              <w:rPr>
                <w:rFonts w:ascii="Arial" w:hAnsi="Arial"/>
              </w:rPr>
              <w:t xml:space="preserve"> </w:t>
            </w:r>
            <w:r w:rsidR="00C10DFB" w:rsidRPr="00151DB4">
              <w:rPr>
                <w:rFonts w:ascii="Arial" w:hAnsi="Arial"/>
              </w:rPr>
              <w:t>(</w:t>
            </w:r>
            <w:r w:rsidRPr="00151DB4">
              <w:rPr>
                <w:rFonts w:ascii="Arial" w:hAnsi="Arial"/>
              </w:rPr>
              <w:t>18</w:t>
            </w:r>
            <w:r w:rsidR="00C10DFB" w:rsidRPr="00151DB4">
              <w:rPr>
                <w:rFonts w:ascii="Arial" w:hAnsi="Arial"/>
              </w:rPr>
              <w:t>) hours of e-learning with the goal to educating contact centre apprentices on</w:t>
            </w:r>
            <w:r w:rsidR="001434CA" w:rsidRPr="00151DB4">
              <w:rPr>
                <w:rFonts w:ascii="Arial" w:hAnsi="Arial"/>
              </w:rPr>
              <w:t xml:space="preserve"> </w:t>
            </w:r>
            <w:r w:rsidR="00147144" w:rsidRPr="00151DB4">
              <w:rPr>
                <w:rFonts w:ascii="Arial" w:hAnsi="Arial"/>
              </w:rPr>
              <w:t xml:space="preserve">how to </w:t>
            </w:r>
            <w:r w:rsidRPr="00151DB4">
              <w:rPr>
                <w:rFonts w:ascii="Arial" w:hAnsi="Arial"/>
              </w:rPr>
              <w:t>deal effectively with stress and conflict in the workplace.</w:t>
            </w:r>
          </w:p>
        </w:tc>
      </w:tr>
    </w:tbl>
    <w:p w:rsidR="00D1300B" w:rsidRDefault="00D1300B">
      <w:pPr>
        <w:rPr>
          <w:rFonts w:ascii="Arial" w:hAnsi="Arial"/>
        </w:rPr>
      </w:pPr>
    </w:p>
    <w:p w:rsidR="00151DB4" w:rsidRDefault="00151DB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Identify the causes and hazards of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Describe various strategies for dealing with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r w:rsidR="00151DB4">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151DB4">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r w:rsidR="00151DB4">
              <w:rPr>
                <w:rFonts w:ascii="Arial" w:hAnsi="Arial"/>
              </w:rPr>
              <w:t>.</w:t>
            </w:r>
          </w:p>
        </w:tc>
      </w:tr>
    </w:tbl>
    <w:p w:rsidR="00D1300B" w:rsidRDefault="00D1300B">
      <w:pPr>
        <w:rPr>
          <w:rFonts w:ascii="Arial" w:hAnsi="Arial"/>
        </w:rPr>
      </w:pPr>
    </w:p>
    <w:p w:rsidR="00151DB4" w:rsidRDefault="00151DB4">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51DB4"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Pr="00151DB4" w:rsidRDefault="00FB5F52">
            <w:pPr>
              <w:rPr>
                <w:rFonts w:ascii="Arial" w:hAnsi="Arial"/>
              </w:rPr>
            </w:pPr>
            <w:r w:rsidRPr="00151DB4">
              <w:rPr>
                <w:rFonts w:ascii="Arial" w:hAnsi="Arial"/>
              </w:rPr>
              <w:t>Access to the Aristotle Learning Platform through a Sutherland secure computer.</w:t>
            </w: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51DB4"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 xml:space="preserve"> =</w:t>
            </w:r>
            <w:r>
              <w:rPr>
                <w:rFonts w:ascii="Arial" w:hAnsi="Arial"/>
                <w:b/>
              </w:rPr>
              <w:t xml:space="preserve">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51DB4" w:rsidRDefault="00151DB4">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7D" w:rsidRDefault="00D5577D">
      <w:r>
        <w:separator/>
      </w:r>
    </w:p>
  </w:endnote>
  <w:endnote w:type="continuationSeparator" w:id="1">
    <w:p w:rsidR="00D5577D" w:rsidRDefault="00D55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7D" w:rsidRDefault="00D5577D">
      <w:r>
        <w:separator/>
      </w:r>
    </w:p>
  </w:footnote>
  <w:footnote w:type="continuationSeparator" w:id="1">
    <w:p w:rsidR="00D5577D" w:rsidRDefault="00D55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C0A6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B39D0">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C0A6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677259">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A557A0">
          <w:pPr>
            <w:rPr>
              <w:rFonts w:ascii="Arial" w:hAnsi="Arial"/>
              <w:snapToGrid w:val="0"/>
            </w:rPr>
          </w:pPr>
          <w:r>
            <w:rPr>
              <w:rFonts w:ascii="Arial" w:hAnsi="Arial"/>
            </w:rPr>
            <w:t>Workplace Stress and Conflict Resolution</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A557A0">
            <w:rPr>
              <w:rFonts w:ascii="Arial" w:hAnsi="Arial"/>
              <w:snapToGrid w:val="0"/>
            </w:rPr>
            <w:t>7</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51DB4"/>
    <w:rsid w:val="001C0A64"/>
    <w:rsid w:val="001D3000"/>
    <w:rsid w:val="00207B9E"/>
    <w:rsid w:val="002C4D36"/>
    <w:rsid w:val="002D0F95"/>
    <w:rsid w:val="0034617F"/>
    <w:rsid w:val="003D0A59"/>
    <w:rsid w:val="003D0B70"/>
    <w:rsid w:val="003D5562"/>
    <w:rsid w:val="00425B5F"/>
    <w:rsid w:val="005A28BC"/>
    <w:rsid w:val="005E3F16"/>
    <w:rsid w:val="00626C24"/>
    <w:rsid w:val="006305F6"/>
    <w:rsid w:val="00674C67"/>
    <w:rsid w:val="00677259"/>
    <w:rsid w:val="00690F12"/>
    <w:rsid w:val="006B39D0"/>
    <w:rsid w:val="007046D2"/>
    <w:rsid w:val="00721FF2"/>
    <w:rsid w:val="00723208"/>
    <w:rsid w:val="007651F1"/>
    <w:rsid w:val="0077756A"/>
    <w:rsid w:val="007B5072"/>
    <w:rsid w:val="007E6621"/>
    <w:rsid w:val="007F132C"/>
    <w:rsid w:val="00867048"/>
    <w:rsid w:val="00A01D87"/>
    <w:rsid w:val="00A340FF"/>
    <w:rsid w:val="00A557A0"/>
    <w:rsid w:val="00A85995"/>
    <w:rsid w:val="00A9176F"/>
    <w:rsid w:val="00B112CF"/>
    <w:rsid w:val="00B50404"/>
    <w:rsid w:val="00B713F9"/>
    <w:rsid w:val="00B778BA"/>
    <w:rsid w:val="00B835FC"/>
    <w:rsid w:val="00C0550E"/>
    <w:rsid w:val="00C10DFB"/>
    <w:rsid w:val="00C35536"/>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677259"/>
    <w:rPr>
      <w:b/>
      <w:sz w:val="24"/>
      <w:lang w:val="en-GB"/>
    </w:rPr>
  </w:style>
</w:styles>
</file>

<file path=word/webSettings.xml><?xml version="1.0" encoding="utf-8"?>
<w:webSettings xmlns:r="http://schemas.openxmlformats.org/officeDocument/2006/relationships" xmlns:w="http://schemas.openxmlformats.org/wordprocessingml/2006/main">
  <w:divs>
    <w:div w:id="4802729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FDC07-6929-496B-A6CE-84BC3ED59396}"/>
</file>

<file path=customXml/itemProps2.xml><?xml version="1.0" encoding="utf-8"?>
<ds:datastoreItem xmlns:ds="http://schemas.openxmlformats.org/officeDocument/2006/customXml" ds:itemID="{5FBB7E69-587D-496A-A230-FF41411B249A}"/>
</file>

<file path=customXml/itemProps3.xml><?xml version="1.0" encoding="utf-8"?>
<ds:datastoreItem xmlns:ds="http://schemas.openxmlformats.org/officeDocument/2006/customXml" ds:itemID="{B2BE91E4-70D2-4AF3-ADE9-03DFC937AC1F}"/>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2009-07-17T17:13:00Z</cp:lastPrinted>
  <dcterms:created xsi:type="dcterms:W3CDTF">2009-07-17T17:13:00Z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111400</vt:r8>
  </property>
</Properties>
</file>